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000"/>
        <w:jc w:val="center"/>
      </w:pPr>
      <w:r>
        <w:rPr>
          <w:rFonts w:ascii="Arial" w:cs="Arial" w:eastAsia="Arial" w:hAnsi="Arial"/>
          <w:b/>
          <w:bCs/>
          <w:color w:val="1B6B3A"/>
          <w:sz w:val="48"/>
          <w:szCs w:val="48"/>
        </w:rPr>
        <w:t xml:space="preserve">JISITDEA</w:t>
      </w:r>
    </w:p>
    <w:p>
      <w:pPr>
        <w:spacing w:after="80" w:before="0"/>
        <w:jc w:val="center"/>
      </w:pPr>
      <w:r>
        <w:rPr>
          <w:rFonts w:ascii="Arial" w:cs="Arial" w:eastAsia="Arial" w:hAnsi="Arial"/>
          <w:color w:val="595959"/>
          <w:sz w:val="24"/>
          <w:szCs w:val="24"/>
        </w:rPr>
        <w:t xml:space="preserve">Jigawa State Information Technology and Digital Economy Agency</w:t>
      </w:r>
    </w:p>
    <w:p>
      <w:pPr>
        <w:spacing w:after="80" w:before="80"/>
      </w:pPr>
      <w:r>
        <w:t xml:space="preserve"/>
      </w:r>
    </w:p>
    <w:p>
      <w:pPr>
        <w:pBdr>
          <w:top w:val="single" w:color="1F497D" w:sz="8" w:space="4"/>
          <w:bottom w:val="single" w:color="1F497D" w:sz="8" w:space="4"/>
        </w:pBdr>
        <w:spacing w:after="160" w:before="160"/>
        <w:jc w:val="center"/>
      </w:pPr>
      <w:r>
        <w:rPr>
          <w:rFonts w:ascii="Arial" w:cs="Arial" w:eastAsia="Arial" w:hAnsi="Arial"/>
          <w:b/>
          <w:bCs/>
          <w:color w:val="1F497D"/>
          <w:sz w:val="40"/>
          <w:szCs w:val="40"/>
        </w:rPr>
        <w:t xml:space="preserve">JIGAWA STATE E-PROCUREMENT SYSTEM</w:t>
      </w:r>
    </w:p>
    <w:p>
      <w:pPr>
        <w:spacing w:after="80" w:before="120"/>
        <w:jc w:val="center"/>
      </w:pPr>
      <w:r>
        <w:rPr>
          <w:rFonts w:ascii="Arial" w:cs="Arial" w:eastAsia="Arial" w:hAnsi="Arial"/>
          <w:b/>
          <w:bCs/>
          <w:color w:val="1F497D"/>
          <w:sz w:val="34"/>
          <w:szCs w:val="34"/>
        </w:rPr>
        <w:t xml:space="preserve">Training Programme Plan</w:t>
      </w:r>
    </w:p>
    <w:p>
      <w:pPr>
        <w:spacing w:after="80" w:before="80"/>
      </w:pPr>
      <w:r>
        <w:t xml:space="preserve"/>
      </w:r>
    </w:p>
    <w:p>
      <w:pPr>
        <w:pBdr>
          <w:bottom w:val="single" w:color="1F497D" w:sz="4" w:space="4"/>
        </w:pBdr>
        <w:spacing w:after="40" w:before="80"/>
        <w:jc w:val="center"/>
      </w:pPr>
      <w:r>
        <w:rPr>
          <w:rFonts w:ascii="Arial" w:cs="Arial" w:eastAsia="Arial" w:hAnsi="Arial"/>
          <w:b/>
          <w:bCs/>
          <w:color w:val="1F497D"/>
          <w:sz w:val="28"/>
          <w:szCs w:val="28"/>
        </w:rPr>
        <w:t xml:space="preserve">PLAN B</w:t>
      </w:r>
    </w:p>
    <w:p>
      <w:pPr>
        <w:spacing w:after="40" w:before="80"/>
        <w:jc w:val="center"/>
      </w:pPr>
      <w:r>
        <w:rPr>
          <w:rFonts w:ascii="Arial" w:cs="Arial" w:eastAsia="Arial" w:hAnsi="Arial"/>
          <w:b/>
          <w:bCs/>
          <w:color w:val="000000"/>
          <w:sz w:val="24"/>
          <w:szCs w:val="24"/>
        </w:rPr>
        <w:t xml:space="preserve">2-Day Non-Residential Training in Dutse</w:t>
      </w:r>
    </w:p>
    <w:p>
      <w:pPr>
        <w:spacing w:after="40" w:before="40"/>
        <w:jc w:val="center"/>
      </w:pPr>
      <w:r>
        <w:rPr>
          <w:rFonts w:ascii="Arial" w:cs="Arial" w:eastAsia="Arial" w:hAnsi="Arial"/>
          <w:color w:val="595959"/>
          <w:sz w:val="22"/>
          <w:szCs w:val="22"/>
        </w:rPr>
        <w:t xml:space="preserve">45 Persons (Participants + Facilitators)  |  Dutse, Jigawa State</w:t>
      </w:r>
    </w:p>
    <w:p>
      <w:pPr>
        <w:spacing w:after="40" w:before="20"/>
        <w:jc w:val="center"/>
      </w:pPr>
      <w:r>
        <w:rPr>
          <w:rFonts w:ascii="Arial" w:cs="Arial" w:eastAsia="Arial" w:hAnsi="Arial"/>
          <w:i/>
          <w:iCs/>
          <w:color w:val="595959"/>
          <w:sz w:val="22"/>
          <w:szCs w:val="22"/>
        </w:rPr>
        <w:t xml:space="preserve">Target Budget: ₦5,000,000 – ₦6,000,000</w:t>
      </w:r>
    </w:p>
    <w:p>
      <w:pPr>
        <w:spacing w:after="80" w:before="80"/>
      </w:pPr>
      <w:r>
        <w:t xml:space="preserve"/>
      </w:r>
    </w:p>
    <w:p>
      <w:pPr>
        <w:spacing w:after="80" w:before="80"/>
      </w:pPr>
      <w:r>
        <w:t xml:space="preserve"/>
      </w:r>
    </w:p>
    <w:p>
      <w:pPr>
        <w:spacing w:after="40" w:before="120"/>
        <w:jc w:val="center"/>
      </w:pPr>
      <w:r>
        <w:rPr>
          <w:rFonts w:ascii="Arial" w:cs="Arial" w:eastAsia="Arial" w:hAnsi="Arial"/>
          <w:color w:val="595959"/>
          <w:sz w:val="22"/>
          <w:szCs w:val="22"/>
        </w:rPr>
        <w:t xml:space="preserve">Prepared by:</w:t>
      </w:r>
    </w:p>
    <w:p>
      <w:pPr>
        <w:spacing w:after="40" w:before="0"/>
        <w:jc w:val="center"/>
      </w:pPr>
      <w:r>
        <w:rPr>
          <w:rFonts w:ascii="Arial" w:cs="Arial" w:eastAsia="Arial" w:hAnsi="Arial"/>
          <w:b/>
          <w:bCs/>
          <w:color w:val="000000"/>
          <w:sz w:val="22"/>
          <w:szCs w:val="22"/>
        </w:rPr>
        <w:t xml:space="preserve">Head, E-Governance and Digital Economy</w:t>
      </w:r>
    </w:p>
    <w:p>
      <w:pPr>
        <w:spacing w:after="40" w:before="0"/>
        <w:jc w:val="center"/>
      </w:pPr>
      <w:r>
        <w:rPr>
          <w:rFonts w:ascii="Arial" w:cs="Arial" w:eastAsia="Arial" w:hAnsi="Arial"/>
          <w:color w:val="595959"/>
          <w:sz w:val="22"/>
          <w:szCs w:val="22"/>
        </w:rPr>
        <w:t xml:space="preserve">Jigawa State Information Technology and Digital Economy Agency (JISITDEA)</w:t>
      </w:r>
    </w:p>
    <w:p>
      <w:pPr>
        <w:spacing w:after="40" w:before="0"/>
        <w:jc w:val="center"/>
      </w:pPr>
      <w:r>
        <w:rPr>
          <w:rFonts w:ascii="Arial" w:cs="Arial" w:eastAsia="Arial" w:hAnsi="Arial"/>
          <w:color w:val="595959"/>
          <w:sz w:val="22"/>
          <w:szCs w:val="22"/>
        </w:rPr>
        <w:t xml:space="preserve">Dutse, Jigawa State  |  April 2026</w:t>
      </w:r>
    </w:p>
    <w:p>
      <w:r>
        <w:br w:type="page"/>
      </w:r>
    </w:p>
    <w:p>
      <w:pPr>
        <w:pStyle w:val="Heading1"/>
        <w:spacing w:after="160" w:before="320"/>
      </w:pPr>
      <w:r>
        <w:rPr>
          <w:rFonts w:ascii="Arial" w:cs="Arial" w:eastAsia="Arial" w:hAnsi="Arial"/>
          <w:b/>
          <w:bCs/>
          <w:color w:val="1F497D"/>
          <w:sz w:val="32"/>
          <w:szCs w:val="32"/>
        </w:rPr>
        <w:t xml:space="preserve">1. Executive Summary</w:t>
      </w:r>
    </w:p>
    <w:p>
      <w:pPr>
        <w:spacing w:after="60" w:before="60"/>
      </w:pPr>
      <w:r>
        <w:rPr>
          <w:rFonts w:ascii="Arial" w:cs="Arial" w:eastAsia="Arial" w:hAnsi="Arial"/>
          <w:color w:val="000000"/>
          <w:sz w:val="22"/>
          <w:szCs w:val="22"/>
        </w:rPr>
        <w:t xml:space="preserve">This document presents Plan B for the official training rollout of the Jigawa State Electronic Procurement System (JS-EPS). Plan B is a 2-day non-residential training programme held at a conference facility within Dutse. The programme covers 45 persons in total — training participants and the facilitation/support team — all of whom are Dutse-based and commute daily. No accommodation is required. The budget covers venue hire, daily feeding, training/sitting allowance for all 45 persons, training materials, ICT setup, and facilitator fees. The estimated total budget is ₦5,118,225.</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2. Training Objectives</w:t>
      </w:r>
    </w:p>
    <w:p>
      <w:pPr>
        <w:spacing w:after="60" w:before="60"/>
      </w:pPr>
      <w:r>
        <w:rPr>
          <w:rFonts w:ascii="Arial" w:cs="Arial" w:eastAsia="Arial" w:hAnsi="Arial"/>
          <w:color w:val="000000"/>
          <w:sz w:val="22"/>
          <w:szCs w:val="22"/>
        </w:rPr>
        <w:t xml:space="preserve">By the end of the training, every participant will be able to:</w:t>
      </w:r>
    </w:p>
    <w:p>
      <w:pPr>
        <w:spacing w:after="80" w:before="80"/>
      </w:pPr>
      <w:r>
        <w:t xml:space="preserve"/>
      </w:r>
    </w:p>
    <w:p>
      <w:pPr>
        <w:pStyle w:val="ListParagraph"/>
        <w:numPr>
          <w:ilvl w:val="0"/>
          <w:numId w:val="2"/>
        </w:numPr>
        <w:spacing w:after="40" w:before="40"/>
      </w:pPr>
      <w:r>
        <w:rPr>
          <w:rFonts w:ascii="Arial" w:cs="Arial" w:eastAsia="Arial" w:hAnsi="Arial"/>
          <w:b w:val="false"/>
          <w:bCs w:val="false"/>
          <w:sz w:val="22"/>
          <w:szCs w:val="22"/>
        </w:rPr>
        <w:t xml:space="preserve">Navigate JS-EPS end-to-end — from requisition creation through to contract award and monitoring</w:t>
      </w:r>
    </w:p>
    <w:p>
      <w:pPr>
        <w:pStyle w:val="ListParagraph"/>
        <w:numPr>
          <w:ilvl w:val="0"/>
          <w:numId w:val="2"/>
        </w:numPr>
        <w:spacing w:after="40" w:before="40"/>
      </w:pPr>
      <w:r>
        <w:rPr>
          <w:rFonts w:ascii="Arial" w:cs="Arial" w:eastAsia="Arial" w:hAnsi="Arial"/>
          <w:b w:val="false"/>
          <w:bCs w:val="false"/>
          <w:sz w:val="22"/>
          <w:szCs w:val="22"/>
        </w:rPr>
        <w:t xml:space="preserve">Apply the correct procurement procedures and approval workflows within the system</w:t>
      </w:r>
    </w:p>
    <w:p>
      <w:pPr>
        <w:pStyle w:val="ListParagraph"/>
        <w:numPr>
          <w:ilvl w:val="0"/>
          <w:numId w:val="2"/>
        </w:numPr>
        <w:spacing w:after="40" w:before="40"/>
      </w:pPr>
      <w:r>
        <w:rPr>
          <w:rFonts w:ascii="Arial" w:cs="Arial" w:eastAsia="Arial" w:hAnsi="Arial"/>
          <w:b w:val="false"/>
          <w:bCs w:val="false"/>
          <w:sz w:val="22"/>
          <w:szCs w:val="22"/>
        </w:rPr>
        <w:t xml:space="preserve">Perform their specific role-based functions: Procurement Officers as operators, Bureau staff as system-based verifiers, ICT staff as administrators, and Directors as oversight approvers</w:t>
      </w:r>
    </w:p>
    <w:p>
      <w:pPr>
        <w:pStyle w:val="ListParagraph"/>
        <w:numPr>
          <w:ilvl w:val="0"/>
          <w:numId w:val="2"/>
        </w:numPr>
        <w:spacing w:after="40" w:before="40"/>
      </w:pPr>
      <w:r>
        <w:rPr>
          <w:rFonts w:ascii="Arial" w:cs="Arial" w:eastAsia="Arial" w:hAnsi="Arial"/>
          <w:b w:val="false"/>
          <w:bCs w:val="false"/>
          <w:sz w:val="22"/>
          <w:szCs w:val="22"/>
        </w:rPr>
        <w:t xml:space="preserve">Understand the legal basis under the Jigawa State Due Process Law and national e-procurement frameworks</w:t>
      </w:r>
    </w:p>
    <w:p>
      <w:pPr>
        <w:pStyle w:val="ListParagraph"/>
        <w:numPr>
          <w:ilvl w:val="0"/>
          <w:numId w:val="2"/>
        </w:numPr>
        <w:spacing w:after="40" w:before="40"/>
      </w:pPr>
      <w:r>
        <w:rPr>
          <w:rFonts w:ascii="Arial" w:cs="Arial" w:eastAsia="Arial" w:hAnsi="Arial"/>
          <w:b w:val="false"/>
          <w:bCs w:val="false"/>
          <w:sz w:val="22"/>
          <w:szCs w:val="22"/>
        </w:rPr>
        <w:t xml:space="preserve">Identify, document, and escalate system errors through the correct channels</w:t>
      </w:r>
    </w:p>
    <w:p>
      <w:pPr>
        <w:pStyle w:val="ListParagraph"/>
        <w:numPr>
          <w:ilvl w:val="0"/>
          <w:numId w:val="2"/>
        </w:numPr>
        <w:spacing w:after="40" w:before="40"/>
      </w:pPr>
      <w:r>
        <w:rPr>
          <w:rFonts w:ascii="Arial" w:cs="Arial" w:eastAsia="Arial" w:hAnsi="Arial"/>
          <w:b w:val="false"/>
          <w:bCs w:val="false"/>
          <w:sz w:val="22"/>
          <w:szCs w:val="22"/>
        </w:rPr>
        <w:t xml:space="preserve">Produce and interpret system-generated reports, compliance dashboards, and audit trails</w:t>
      </w:r>
    </w:p>
    <w:p>
      <w:pPr>
        <w:pStyle w:val="ListParagraph"/>
        <w:numPr>
          <w:ilvl w:val="0"/>
          <w:numId w:val="2"/>
        </w:numPr>
        <w:spacing w:after="40" w:before="40"/>
      </w:pPr>
      <w:r>
        <w:rPr>
          <w:rFonts w:ascii="Arial" w:cs="Arial" w:eastAsia="Arial" w:hAnsi="Arial"/>
          <w:b w:val="false"/>
          <w:bCs w:val="false"/>
          <w:sz w:val="22"/>
          <w:szCs w:val="22"/>
        </w:rPr>
        <w:t xml:space="preserve">Support the rollout and peer training of other staff within their MDAs upon return</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3. Participant Structure</w:t>
      </w:r>
    </w:p>
    <w:p>
      <w:pPr>
        <w:spacing w:after="60" w:before="60"/>
      </w:pPr>
      <w:r>
        <w:rPr>
          <w:rFonts w:ascii="Arial" w:cs="Arial" w:eastAsia="Arial" w:hAnsi="Arial"/>
          <w:color w:val="000000"/>
          <w:sz w:val="22"/>
          <w:szCs w:val="22"/>
        </w:rPr>
        <w:t xml:space="preserve">The 45-person programme budget covers all attendees — training participants and facilitation/support staff combined. The participant breakdown by functional cohort is as follows:</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5960"/>
      </w:tblGrid>
      <w:tr>
        <w:trPr>
          <w:tblHeader/>
        </w:trPr>
        <w:tc>
          <w:tcPr>
            <w:tcW w:type="dxa" w:w="26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Group</w:t>
            </w:r>
          </w:p>
        </w:tc>
        <w:tc>
          <w:tcPr>
            <w:tcW w:type="dxa" w:w="14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Count</w:t>
            </w:r>
          </w:p>
        </w:tc>
        <w:tc>
          <w:tcPr>
            <w:tcW w:type="dxa" w:w="59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Role in the Training</w:t>
            </w:r>
          </w:p>
        </w:tc>
      </w:tr>
      <w:tr>
        <w:tc>
          <w:tcPr>
            <w:tcW w:type="dxa" w:w="26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MDA Procurement Officers</w:t>
            </w:r>
          </w:p>
        </w:tc>
        <w:tc>
          <w:tcPr>
            <w:tcW w:type="dxa" w:w="14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17</w:t>
            </w:r>
          </w:p>
        </w:tc>
        <w:tc>
          <w:tcPr>
            <w:tcW w:type="dxa" w:w="5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Primary system operators — requisition, bid management, contract monitoring</w:t>
            </w:r>
          </w:p>
        </w:tc>
      </w:tr>
      <w:tr>
        <w:tc>
          <w:tcPr>
            <w:tcW w:type="dxa" w:w="26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Due Process and Project Monitoring Bureau Staff</w:t>
            </w:r>
          </w:p>
        </w:tc>
        <w:tc>
          <w:tcPr>
            <w:tcW w:type="dxa" w:w="1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8</w:t>
            </w:r>
          </w:p>
        </w:tc>
        <w:tc>
          <w:tcPr>
            <w:tcW w:type="dxa" w:w="5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System-based contract verification, compliance monitoring, audit trail review</w:t>
            </w:r>
          </w:p>
        </w:tc>
      </w:tr>
      <w:tr>
        <w:tc>
          <w:tcPr>
            <w:tcW w:type="dxa" w:w="26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Staff / System Administrators</w:t>
            </w:r>
          </w:p>
        </w:tc>
        <w:tc>
          <w:tcPr>
            <w:tcW w:type="dxa" w:w="14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8</w:t>
            </w:r>
          </w:p>
        </w:tc>
        <w:tc>
          <w:tcPr>
            <w:tcW w:type="dxa" w:w="5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System configuration, user management, troubleshooting, integrations</w:t>
            </w:r>
          </w:p>
        </w:tc>
      </w:tr>
      <w:tr>
        <w:tc>
          <w:tcPr>
            <w:tcW w:type="dxa" w:w="26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Directors / Heads of Departments</w:t>
            </w:r>
          </w:p>
        </w:tc>
        <w:tc>
          <w:tcPr>
            <w:tcW w:type="dxa" w:w="1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w:t>
            </w:r>
          </w:p>
        </w:tc>
        <w:tc>
          <w:tcPr>
            <w:tcW w:type="dxa" w:w="5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Approval workflows, oversight dashboards, compliance reporting</w:t>
            </w:r>
          </w:p>
        </w:tc>
      </w:tr>
      <w:tr>
        <w:tc>
          <w:tcPr>
            <w:tcW w:type="dxa" w:w="26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Lead Facilitator and Track Facilitators</w:t>
            </w:r>
          </w:p>
        </w:tc>
        <w:tc>
          <w:tcPr>
            <w:tcW w:type="dxa" w:w="14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3</w:t>
            </w:r>
          </w:p>
        </w:tc>
        <w:tc>
          <w:tcPr>
            <w:tcW w:type="dxa" w:w="5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Programme delivery (included in per-person budget)</w:t>
            </w:r>
          </w:p>
        </w:tc>
      </w:tr>
      <w:tr>
        <w:tc>
          <w:tcPr>
            <w:tcW w:type="dxa" w:w="26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Technical Support Officer (Vendor)</w:t>
            </w:r>
          </w:p>
        </w:tc>
        <w:tc>
          <w:tcPr>
            <w:tcW w:type="dxa" w:w="1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5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System demonstrations and hands-on support</w:t>
            </w:r>
          </w:p>
        </w:tc>
      </w:tr>
      <w:tr>
        <w:tc>
          <w:tcPr>
            <w:tcW w:type="dxa" w:w="26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Documentation Officer and Admin Support</w:t>
            </w:r>
          </w:p>
        </w:tc>
        <w:tc>
          <w:tcPr>
            <w:tcW w:type="dxa" w:w="14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w:t>
            </w:r>
          </w:p>
        </w:tc>
        <w:tc>
          <w:tcPr>
            <w:tcW w:type="dxa" w:w="5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Programme administration, registration, documentation</w:t>
            </w:r>
          </w:p>
        </w:tc>
      </w:tr>
      <w:tr>
        <w:tc>
          <w:tcPr>
            <w:tcW w:type="dxa" w:w="2600"/>
            <w:tcBorders>
              <w:top w:val="single" w:color="CCCCCC" w:sz="4"/>
              <w:left w:val="single" w:color="CCCCCC" w:sz="4"/>
              <w:bottom w:val="single" w:color="CCCCCC" w:sz="4"/>
              <w:right w:val="single" w:color="CCCCCC" w:sz="4"/>
            </w:tcBorders>
            <w:shd w:fill="D6EDDF" w:val="clear"/>
            <w:tcMar>
              <w:top w:type="dxa" w:w="80"/>
              <w:left w:type="dxa" w:w="120"/>
              <w:bottom w:type="dxa" w:w="80"/>
              <w:right w:type="dxa" w:w="120"/>
            </w:tcMar>
          </w:tcPr>
          <w:p>
            <w:r>
              <w:rPr>
                <w:rFonts w:ascii="Arial" w:cs="Arial" w:eastAsia="Arial" w:hAnsi="Arial"/>
                <w:b/>
                <w:bCs/>
                <w:color w:val="000000"/>
                <w:sz w:val="20"/>
                <w:szCs w:val="20"/>
              </w:rPr>
              <w:t xml:space="preserve">TOTAL</w:t>
            </w:r>
          </w:p>
        </w:tc>
        <w:tc>
          <w:tcPr>
            <w:tcW w:type="dxa" w:w="1400"/>
            <w:tcBorders>
              <w:top w:val="single" w:color="CCCCCC" w:sz="4"/>
              <w:left w:val="single" w:color="CCCCCC" w:sz="4"/>
              <w:bottom w:val="single" w:color="CCCCCC" w:sz="4"/>
              <w:right w:val="single" w:color="CCCCCC" w:sz="4"/>
            </w:tcBorders>
            <w:shd w:fill="D6EDDF" w:val="clear"/>
            <w:tcMar>
              <w:top w:type="dxa" w:w="80"/>
              <w:left w:type="dxa" w:w="120"/>
              <w:bottom w:type="dxa" w:w="80"/>
              <w:right w:type="dxa" w:w="120"/>
            </w:tcMar>
          </w:tcPr>
          <w:p>
            <w:r>
              <w:rPr>
                <w:rFonts w:ascii="Arial" w:cs="Arial" w:eastAsia="Arial" w:hAnsi="Arial"/>
                <w:b/>
                <w:bCs/>
                <w:color w:val="000000"/>
                <w:sz w:val="20"/>
                <w:szCs w:val="20"/>
              </w:rPr>
              <w:t xml:space="preserve">45</w:t>
            </w:r>
          </w:p>
        </w:tc>
        <w:tc>
          <w:tcPr>
            <w:tcW w:type="dxa" w:w="5960"/>
            <w:tcBorders>
              <w:top w:val="single" w:color="CCCCCC" w:sz="4"/>
              <w:left w:val="single" w:color="CCCCCC" w:sz="4"/>
              <w:bottom w:val="single" w:color="CCCCCC" w:sz="4"/>
              <w:right w:val="single" w:color="CCCCCC" w:sz="4"/>
            </w:tcBorders>
            <w:shd w:fill="D6EDDF" w:val="clear"/>
            <w:tcMar>
              <w:top w:type="dxa" w:w="80"/>
              <w:left w:type="dxa" w:w="120"/>
              <w:bottom w:type="dxa" w:w="80"/>
              <w:right w:type="dxa" w:w="120"/>
            </w:tcMar>
          </w:tcPr>
          <w:p>
            <w:r>
              <w:rPr>
                <w:rFonts w:ascii="Arial" w:cs="Arial" w:eastAsia="Arial" w:hAnsi="Arial"/>
                <w:b/>
                <w:bCs/>
                <w:color w:val="000000"/>
                <w:sz w:val="20"/>
                <w:szCs w:val="20"/>
              </w:rPr>
              <w:t xml:space="preserve">All catering, accommodation (Plan A), DTA, and materials budgeted for 45 persons</w:t>
            </w:r>
          </w:p>
        </w:tc>
      </w:tr>
    </w:tbl>
    <w:p>
      <w:pPr>
        <w:spacing w:after="80" w:before="80"/>
      </w:pPr>
      <w:r>
        <w:t xml:space="preserve"/>
      </w:r>
    </w:p>
    <w:p>
      <w:pPr>
        <w:spacing w:after="60" w:before="60"/>
        <w:ind w:left="360"/>
      </w:pPr>
      <w:r>
        <w:rPr>
          <w:rFonts w:ascii="Arial" w:cs="Arial" w:eastAsia="Arial" w:hAnsi="Arial"/>
          <w:i/>
          <w:iCs/>
          <w:color w:val="595959"/>
          <w:sz w:val="20"/>
          <w:szCs w:val="20"/>
        </w:rPr>
        <w:t xml:space="preserve">MDA representation should be drawn from at least 8 MDAs. The Ministries of Finance, Health, Education, Works, and Agriculture are prioritised given procurement volume.</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4. Two-Day Training Programme Schedule</w:t>
      </w:r>
    </w:p>
    <w:p>
      <w:pPr>
        <w:spacing w:after="60" w:before="60"/>
      </w:pPr>
      <w:r>
        <w:rPr>
          <w:rFonts w:ascii="Arial" w:cs="Arial" w:eastAsia="Arial" w:hAnsi="Arial"/>
          <w:color w:val="000000"/>
          <w:sz w:val="22"/>
          <w:szCs w:val="22"/>
        </w:rPr>
        <w:t xml:space="preserve">The schedule runs over two full working days at a venue in Dutse. All participants commute daily from their respective duty stations within Dutse. Three breakout rooms run in parallel on both days. A dedicated JS-EPS training sandbox is used for all hands-on sessions.</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900"/>
        <w:gridCol w:w="1900"/>
        <w:gridCol w:w="4200"/>
        <w:gridCol w:w="2960"/>
      </w:tblGrid>
      <w:tr>
        <w:trPr>
          <w:tblHeader/>
        </w:trPr>
        <w:tc>
          <w:tcPr>
            <w:tcW w:type="dxa" w:w="9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Time</w:t>
            </w:r>
          </w:p>
        </w:tc>
        <w:tc>
          <w:tcPr>
            <w:tcW w:type="dxa" w:w="19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Session / Activity</w:t>
            </w:r>
          </w:p>
        </w:tc>
        <w:tc>
          <w:tcPr>
            <w:tcW w:type="dxa" w:w="42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Content / Description</w:t>
            </w:r>
          </w:p>
        </w:tc>
        <w:tc>
          <w:tcPr>
            <w:tcW w:type="dxa" w:w="29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Target Group / Notes</w:t>
            </w:r>
          </w:p>
        </w:tc>
      </w:tr>
      <w:tr>
        <w:tc>
          <w:tcPr>
            <w:tcW w:type="dxa" w:w="9960"/>
            <w:gridSpan w:val="4"/>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DAY 1  —  Foundations, System Orientation and Core Modules  (08:00 – 17:30)</w:t>
            </w:r>
          </w:p>
        </w:tc>
      </w:tr>
      <w:tr>
        <w:tc>
          <w:tcPr>
            <w:tcW w:type="dxa" w:w="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08:00</w:t>
            </w:r>
          </w:p>
        </w:tc>
        <w:tc>
          <w:tcPr>
            <w:tcW w:type="dxa" w:w="1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Registration and Accreditation</w:t>
            </w:r>
          </w:p>
        </w:tc>
        <w:tc>
          <w:tcPr>
            <w:tcW w:type="dxa" w:w="42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Registration desk, name tags, welcome kits, training account distribution</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09:00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Opening Ceremony</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DG JISITDEA and DG Due Process Bureau remarks; policy context; programme overview</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09:45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1: Jigawa State Procurement Legal Framework</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Due Process Law, Bureau mandate, e-procurement rationale, what JS-EPS replaces</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10:30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Tea Break</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10:45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2: JS-EPS Architecture and Role-Based Access</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Platform overview, modules, login, dashboard orientation by role</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11:30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A: Procurement Officers — Requisition Module</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Officers + Bureau Staff</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Requisition creation, item classification, approval routing — hands-on practice</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11:30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B: ICT Track — Admin Console and User Management</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Staff</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Admin console, user provisioning, role assignment, server environment</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11:30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C: Directors Track — Approval and Oversight</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Directors</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Approval queue, oversight dashboard, delegation of authority</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12:30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Lunch</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13:30</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3: Tendering, Bid Management and Evaluation Module</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Bid publication, supplier portal, evaluation criteria, Bureau clearance workflow</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14:30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A: Evaluation + Bureau Verification Practice</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Officers + Bureau Staff</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Hands-on evaluation; Bureau staff practice system-based contract vetting</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14:30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B: ICT — Integrations, APIs and Backup</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Staff</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IPPIS/GIFMIS integration, API overview, backup schedule, failover</w:t>
            </w:r>
          </w:p>
        </w:tc>
      </w:tr>
      <w:tr>
        <w:tc>
          <w:tcPr>
            <w:tcW w:type="dxa" w:w="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14:30</w:t>
            </w:r>
          </w:p>
        </w:tc>
        <w:tc>
          <w:tcPr>
            <w:tcW w:type="dxa" w:w="19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C: Directors — Compliance Reports and Audit Logs</w:t>
            </w:r>
          </w:p>
        </w:tc>
        <w:tc>
          <w:tcPr>
            <w:tcW w:type="dxa" w:w="420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Directors</w:t>
            </w:r>
          </w:p>
        </w:tc>
        <w:tc>
          <w:tcPr>
            <w:tcW w:type="dxa" w:w="2960"/>
            <w:tcBorders>
              <w:top w:val="single" w:color="CCCCCC" w:sz="4"/>
              <w:left w:val="single" w:color="CCCCCC" w:sz="4"/>
              <w:bottom w:val="single" w:color="CCCCCC" w:sz="4"/>
              <w:right w:val="single" w:color="CCCCCC" w:sz="4"/>
            </w:tcBorders>
            <w:shd w:fill="DDEEFF"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plan compliance, exception reports, audit trail</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15:30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Tea Break</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15:45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4: Contract Award and Management Module</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Award notices, contract generation, milestone tracking, variation orders</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16:45</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Day 1 Wrap-up and Q&amp;A</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Recap, open floor questions, Day 2 preview</w:t>
            </w:r>
          </w:p>
        </w:tc>
      </w:tr>
      <w:tr>
        <w:tc>
          <w:tcPr>
            <w:tcW w:type="dxa" w:w="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17:15</w:t>
            </w:r>
          </w:p>
        </w:tc>
        <w:tc>
          <w:tcPr>
            <w:tcW w:type="dxa" w:w="1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Close of Day 1 / Informal Networking Dinner (optional)</w:t>
            </w:r>
          </w:p>
        </w:tc>
        <w:tc>
          <w:tcPr>
            <w:tcW w:type="dxa" w:w="42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Participants depart; optional dinner for those staying</w:t>
            </w:r>
          </w:p>
        </w:tc>
      </w:tr>
      <w:tr>
        <w:tc>
          <w:tcPr>
            <w:tcW w:type="dxa" w:w="9960"/>
            <w:gridSpan w:val="4"/>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DAY 2  —  Simulation, Assessment and Deployment Readiness  (08:30 – 17:00)</w:t>
            </w:r>
          </w:p>
        </w:tc>
      </w:tr>
      <w:tr>
        <w:tc>
          <w:tcPr>
            <w:tcW w:type="dxa" w:w="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08:30</w:t>
            </w:r>
          </w:p>
        </w:tc>
        <w:tc>
          <w:tcPr>
            <w:tcW w:type="dxa" w:w="1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Day 1 Recap and Q&amp;A</w:t>
            </w:r>
          </w:p>
        </w:tc>
        <w:tc>
          <w:tcPr>
            <w:tcW w:type="dxa" w:w="42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Facilitator-led recap; unresolved questions addressed</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09:00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5: Supplier Portal — Vendor Registration and Bidding</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Vendor on-boarding, document upload, bid submission from supplier side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09:45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6: Troubleshooting, Help Desk and Escalation Matrix</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 Procurement Officers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Common error catalogue, SLA, post-training support channel setup</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10:30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Tea Break</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10:45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Full-Cycle Simulation Exercise (Requisition to Contract Award)</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Teams run a complete procurement simulation on the training sandbox including Bureau clearance step</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12:30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Lunch</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13:30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Session 7: Change Management and MDA Rollout Strategy</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Cascading training in MDAs, managing resistance, 30-day readiness checklist</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14:15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Competency Assessment (Written + Practical)</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20-question written test (30 min) + one role-specific practical task on sandbox</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15:15</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Tea Break</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15:30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MDA 30-Day Deployment Action Planning</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Each MDA team drafts and submits a deployment plan before departure</w:t>
            </w:r>
          </w:p>
        </w:tc>
      </w:tr>
      <w:tr>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16:15</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Participant Feedback and Evaluation Forms</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Training feedback forms collected</w:t>
            </w:r>
          </w:p>
        </w:tc>
      </w:tr>
      <w:tr>
        <w:tc>
          <w:tcPr>
            <w:tcW w:type="dxa" w:w="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16:30</w:t>
            </w:r>
          </w:p>
        </w:tc>
        <w:tc>
          <w:tcPr>
            <w:tcW w:type="dxa" w:w="19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Official Closing Ceremony</w:t>
            </w:r>
          </w:p>
        </w:tc>
        <w:tc>
          <w:tcPr>
            <w:tcW w:type="dxa" w:w="420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All Participants</w:t>
            </w:r>
          </w:p>
        </w:tc>
        <w:tc>
          <w:tcPr>
            <w:tcW w:type="dxa" w:w="2960"/>
            <w:tcBorders>
              <w:top w:val="single" w:color="CCCCCC" w:sz="4"/>
              <w:left w:val="single" w:color="CCCCCC" w:sz="4"/>
              <w:bottom w:val="single" w:color="CCCCCC" w:sz="4"/>
              <w:right w:val="single" w:color="CCCCCC" w:sz="4"/>
            </w:tcBorders>
            <w:shd w:fill="FFF8DC" w:val="clear"/>
            <w:tcMar>
              <w:top w:type="dxa" w:w="80"/>
              <w:left w:type="dxa" w:w="120"/>
              <w:bottom w:type="dxa" w:w="80"/>
              <w:right w:type="dxa" w:w="120"/>
            </w:tcMar>
          </w:tcPr>
          <w:p>
            <w:r>
              <w:rPr>
                <w:rFonts w:ascii="Arial" w:cs="Arial" w:eastAsia="Arial" w:hAnsi="Arial"/>
                <w:b w:val="false"/>
                <w:bCs w:val="false"/>
                <w:color w:val="000000"/>
                <w:sz w:val="20"/>
                <w:szCs w:val="20"/>
              </w:rPr>
              <w:t xml:space="preserve">DG JISITDEA + DG Due Process Bureau + certificate presentation + group photograph</w:t>
            </w:r>
          </w:p>
        </w:tc>
      </w:tr>
      <w:tr>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17:00</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Close of Programme</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Participants depart</w:t>
            </w:r>
          </w:p>
        </w:tc>
      </w:tr>
    </w:tbl>
    <w:p>
      <w:pPr>
        <w:spacing w:after="80" w:before="80"/>
      </w:pPr>
      <w:r>
        <w:t xml:space="preserve"/>
      </w:r>
    </w:p>
    <w:p>
      <w:pPr>
        <w:pStyle w:val="Heading1"/>
        <w:spacing w:after="160" w:before="320"/>
      </w:pPr>
      <w:r>
        <w:rPr>
          <w:rFonts w:ascii="Arial" w:cs="Arial" w:eastAsia="Arial" w:hAnsi="Arial"/>
          <w:b/>
          <w:bCs/>
          <w:color w:val="1F497D"/>
          <w:sz w:val="32"/>
          <w:szCs w:val="32"/>
        </w:rPr>
        <w:t xml:space="preserve">5. Logistics and Venue Requirements</w:t>
      </w:r>
    </w:p>
    <w:p>
      <w:pPr>
        <w:spacing w:after="60" w:before="60"/>
      </w:pPr>
      <w:r>
        <w:rPr>
          <w:rFonts w:ascii="Arial" w:cs="Arial" w:eastAsia="Arial" w:hAnsi="Arial"/>
          <w:color w:val="000000"/>
          <w:sz w:val="22"/>
          <w:szCs w:val="22"/>
        </w:rPr>
        <w:t xml:space="preserve">The training is held at a suitable government or private conference facility within Dutse. As all participants are locally based, there is no accommodation requirement and participants commute daily. Minimum facility requirements:</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3000"/>
        <w:gridCol w:w="6960"/>
      </w:tblGrid>
      <w:tr>
        <w:trPr>
          <w:tblHeader/>
        </w:trPr>
        <w:tc>
          <w:tcPr>
            <w:tcW w:type="dxa" w:w="30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Requirement</w:t>
            </w:r>
          </w:p>
        </w:tc>
        <w:tc>
          <w:tcPr>
            <w:tcW w:type="dxa" w:w="69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Specification</w:t>
            </w:r>
          </w:p>
        </w:tc>
      </w:tr>
      <w:tr>
        <w:tc>
          <w:tcPr>
            <w:tcW w:type="dxa" w:w="3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Main Plenary Hall</w:t>
            </w:r>
          </w:p>
        </w:tc>
        <w:tc>
          <w:tcPr>
            <w:tcW w:type="dxa" w:w="6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Capacity for 50 persons; projector/large screen (min. 100"); PA system; air-conditioning</w:t>
            </w:r>
          </w:p>
        </w:tc>
      </w:tr>
      <w:tr>
        <w:tc>
          <w:tcPr>
            <w:tcW w:type="dxa" w:w="3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Rooms</w:t>
            </w:r>
          </w:p>
        </w:tc>
        <w:tc>
          <w:tcPr>
            <w:tcW w:type="dxa" w:w="6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3 rooms, minimum 15 persons each; projectors or large screens; whiteboards</w:t>
            </w:r>
          </w:p>
        </w:tc>
      </w:tr>
      <w:tr>
        <w:tc>
          <w:tcPr>
            <w:tcW w:type="dxa" w:w="3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Meals</w:t>
            </w:r>
          </w:p>
        </w:tc>
        <w:tc>
          <w:tcPr>
            <w:tcW w:type="dxa" w:w="6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Lunch and morning/afternoon tea provided daily (2 days); optional networking dinner on Day 1</w:t>
            </w:r>
          </w:p>
        </w:tc>
      </w:tr>
      <w:tr>
        <w:tc>
          <w:tcPr>
            <w:tcW w:type="dxa" w:w="3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Internet Connectivity</w:t>
            </w:r>
          </w:p>
        </w:tc>
        <w:tc>
          <w:tcPr>
            <w:tcW w:type="dxa" w:w="6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Minimum 30 Mbps dedicated bandwidth; JISITDEA provides 5 MiFi backup units</w:t>
            </w:r>
          </w:p>
        </w:tc>
      </w:tr>
      <w:tr>
        <w:tc>
          <w:tcPr>
            <w:tcW w:type="dxa" w:w="3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Power Supply</w:t>
            </w:r>
          </w:p>
        </w:tc>
        <w:tc>
          <w:tcPr>
            <w:tcW w:type="dxa" w:w="6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Stable power with generator backup; extension boards at all workstations</w:t>
            </w:r>
          </w:p>
        </w:tc>
      </w:tr>
      <w:tr>
        <w:tc>
          <w:tcPr>
            <w:tcW w:type="dxa" w:w="3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Laptops/Workstations</w:t>
            </w:r>
          </w:p>
        </w:tc>
        <w:tc>
          <w:tcPr>
            <w:tcW w:type="dxa" w:w="6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Participants bring MDA laptops or JISITDEA provides minimum 1 device per 2 participants</w:t>
            </w:r>
          </w:p>
        </w:tc>
      </w:tr>
    </w:tbl>
    <w:p>
      <w:pPr>
        <w:spacing w:after="80" w:before="80"/>
      </w:pPr>
      <w:r>
        <w:t xml:space="preserve"/>
      </w:r>
    </w:p>
    <w:p>
      <w:pPr>
        <w:spacing w:after="60" w:before="160"/>
      </w:pPr>
      <w:r>
        <w:rPr>
          <w:rFonts w:ascii="Arial" w:cs="Arial" w:eastAsia="Arial" w:hAnsi="Arial"/>
          <w:b/>
          <w:bCs/>
          <w:color w:val="1F497D"/>
          <w:sz w:val="24"/>
          <w:szCs w:val="24"/>
        </w:rPr>
        <w:t xml:space="preserve">Pre-Training Preparation Timeline</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6160"/>
      </w:tblGrid>
      <w:tr>
        <w:trPr>
          <w:tblHeader/>
        </w:trPr>
        <w:tc>
          <w:tcPr>
            <w:tcW w:type="dxa" w:w="20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Milestone</w:t>
            </w:r>
          </w:p>
        </w:tc>
        <w:tc>
          <w:tcPr>
            <w:tcW w:type="dxa" w:w="18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Timeline</w:t>
            </w:r>
          </w:p>
        </w:tc>
        <w:tc>
          <w:tcPr>
            <w:tcW w:type="dxa" w:w="61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Responsible Party</w:t>
            </w:r>
          </w:p>
        </w:tc>
      </w:tr>
      <w:tr>
        <w:tc>
          <w:tcPr>
            <w:tcW w:type="dxa" w:w="2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Finalise participant list and MDA nominations</w:t>
            </w:r>
          </w:p>
        </w:tc>
        <w:tc>
          <w:tcPr>
            <w:tcW w:type="dxa" w:w="1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 weeks before</w:t>
            </w:r>
          </w:p>
        </w:tc>
        <w:tc>
          <w:tcPr>
            <w:tcW w:type="dxa" w:w="61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 MDAs</w:t>
            </w:r>
          </w:p>
        </w:tc>
      </w:tr>
      <w:tr>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Confirm and book Dutse conference venue</w:t>
            </w:r>
          </w:p>
        </w:tc>
        <w:tc>
          <w:tcPr>
            <w:tcW w:type="dxa" w:w="1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 weeks before</w:t>
            </w:r>
          </w:p>
        </w:tc>
        <w:tc>
          <w:tcPr>
            <w:tcW w:type="dxa" w:w="61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Admin / DG Office</w:t>
            </w:r>
          </w:p>
        </w:tc>
      </w:tr>
      <w:tr>
        <w:tc>
          <w:tcPr>
            <w:tcW w:type="dxa" w:w="2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Configure JS-EPS training sandbox environment</w:t>
            </w:r>
          </w:p>
        </w:tc>
        <w:tc>
          <w:tcPr>
            <w:tcW w:type="dxa" w:w="1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3 weeks before</w:t>
            </w:r>
          </w:p>
        </w:tc>
        <w:tc>
          <w:tcPr>
            <w:tcW w:type="dxa" w:w="61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Team / System Vendor</w:t>
            </w:r>
          </w:p>
        </w:tc>
      </w:tr>
      <w:tr>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Produce and print training materials</w:t>
            </w:r>
          </w:p>
        </w:tc>
        <w:tc>
          <w:tcPr>
            <w:tcW w:type="dxa" w:w="1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 weeks before</w:t>
            </w:r>
          </w:p>
        </w:tc>
        <w:tc>
          <w:tcPr>
            <w:tcW w:type="dxa" w:w="61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Head E-Governance + Vendor</w:t>
            </w:r>
          </w:p>
        </w:tc>
      </w:tr>
      <w:tr>
        <w:tc>
          <w:tcPr>
            <w:tcW w:type="dxa" w:w="2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Issue official invitation letters</w:t>
            </w:r>
          </w:p>
        </w:tc>
        <w:tc>
          <w:tcPr>
            <w:tcW w:type="dxa" w:w="1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 weeks before</w:t>
            </w:r>
          </w:p>
        </w:tc>
        <w:tc>
          <w:tcPr>
            <w:tcW w:type="dxa" w:w="61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DG Office</w:t>
            </w:r>
          </w:p>
        </w:tc>
      </w:tr>
      <w:tr>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Facilitator dry-run and rehearsal session</w:t>
            </w:r>
          </w:p>
        </w:tc>
        <w:tc>
          <w:tcPr>
            <w:tcW w:type="dxa" w:w="1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 week before</w:t>
            </w:r>
          </w:p>
        </w:tc>
        <w:tc>
          <w:tcPr>
            <w:tcW w:type="dxa" w:w="61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Lead Facilitator + ICT</w:t>
            </w:r>
          </w:p>
        </w:tc>
      </w:tr>
      <w:tr>
        <w:tc>
          <w:tcPr>
            <w:tcW w:type="dxa" w:w="20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Pre-assign training accounts and test logins</w:t>
            </w:r>
          </w:p>
        </w:tc>
        <w:tc>
          <w:tcPr>
            <w:tcW w:type="dxa" w:w="1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3 days before</w:t>
            </w:r>
          </w:p>
        </w:tc>
        <w:tc>
          <w:tcPr>
            <w:tcW w:type="dxa" w:w="61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Admin Team</w:t>
            </w:r>
          </w:p>
        </w:tc>
      </w:tr>
      <w:tr>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Set up venue, breakout rooms, and workstations</w:t>
            </w:r>
          </w:p>
        </w:tc>
        <w:tc>
          <w:tcPr>
            <w:tcW w:type="dxa" w:w="1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 day before</w:t>
            </w:r>
          </w:p>
        </w:tc>
        <w:tc>
          <w:tcPr>
            <w:tcW w:type="dxa" w:w="61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Logistics Team</w:t>
            </w:r>
          </w:p>
        </w:tc>
      </w:tr>
    </w:tbl>
    <w:p>
      <w:pPr>
        <w:spacing w:after="80" w:before="80"/>
      </w:pPr>
      <w:r>
        <w:t xml:space="preserve"/>
      </w:r>
    </w:p>
    <w:p>
      <w:pPr>
        <w:pStyle w:val="Heading1"/>
        <w:spacing w:after="160" w:before="320"/>
      </w:pPr>
      <w:r>
        <w:rPr>
          <w:rFonts w:ascii="Arial" w:cs="Arial" w:eastAsia="Arial" w:hAnsi="Arial"/>
          <w:b/>
          <w:bCs/>
          <w:color w:val="1F497D"/>
          <w:sz w:val="32"/>
          <w:szCs w:val="32"/>
        </w:rPr>
        <w:t xml:space="preserve">6. Facilitation Team</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2800"/>
        <w:gridCol w:w="4200"/>
        <w:gridCol w:w="2960"/>
      </w:tblGrid>
      <w:tr>
        <w:trPr>
          <w:tblHeader/>
        </w:trPr>
        <w:tc>
          <w:tcPr>
            <w:tcW w:type="dxa" w:w="28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Role</w:t>
            </w:r>
          </w:p>
        </w:tc>
        <w:tc>
          <w:tcPr>
            <w:tcW w:type="dxa" w:w="42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Responsibilities</w:t>
            </w:r>
          </w:p>
        </w:tc>
        <w:tc>
          <w:tcPr>
            <w:tcW w:type="dxa" w:w="29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Source</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Lead Facilitator / Training Coordinator</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Overall programme delivery, plenary sessions, facilitation oversight</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Head E-Governance</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Technical Facilitator (System Vendor)</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System demonstrations, troubleshooting during exercises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JS-EPS vendor/developer</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 Due Process Facilitator</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law, Due Process verification workflow, breakout sessions</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Due Process and Project Monitoring Bureau officer</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Track Facilitator</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Admin console, integrations, server sessions</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ICT senior officer</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Documentation Officer</w:t>
            </w:r>
          </w:p>
        </w:tc>
        <w:tc>
          <w:tcPr>
            <w:tcW w:type="dxa" w:w="4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Attendance registers, photography, training report</w:t>
            </w:r>
          </w:p>
        </w:tc>
        <w:tc>
          <w:tcPr>
            <w:tcW w:type="dxa" w:w="29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Admin / M&amp;E Officer</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Logistics/Admin Support (x2)</w:t>
            </w:r>
          </w:p>
        </w:tc>
        <w:tc>
          <w:tcPr>
            <w:tcW w:type="dxa" w:w="4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Registration desk, catering coordination, materials distribution</w:t>
            </w:r>
          </w:p>
        </w:tc>
        <w:tc>
          <w:tcPr>
            <w:tcW w:type="dxa" w:w="29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JISITDEA support staff</w:t>
            </w:r>
          </w:p>
        </w:tc>
      </w:tr>
    </w:tbl>
    <w:p>
      <w:pPr>
        <w:spacing w:after="80" w:before="80"/>
      </w:pPr>
      <w:r>
        <w:t xml:space="preserve"/>
      </w:r>
    </w:p>
    <w:p>
      <w:pPr>
        <w:pStyle w:val="Heading1"/>
        <w:spacing w:after="160" w:before="320"/>
      </w:pPr>
      <w:r>
        <w:rPr>
          <w:rFonts w:ascii="Arial" w:cs="Arial" w:eastAsia="Arial" w:hAnsi="Arial"/>
          <w:b/>
          <w:bCs/>
          <w:color w:val="1F497D"/>
          <w:sz w:val="32"/>
          <w:szCs w:val="32"/>
        </w:rPr>
        <w:t xml:space="preserve">7. Budget Estimate</w:t>
      </w:r>
    </w:p>
    <w:p>
      <w:pPr>
        <w:spacing w:after="60" w:before="60"/>
      </w:pPr>
      <w:r>
        <w:rPr>
          <w:rFonts w:ascii="Arial" w:cs="Arial" w:eastAsia="Arial" w:hAnsi="Arial"/>
          <w:color w:val="000000"/>
          <w:sz w:val="22"/>
          <w:szCs w:val="22"/>
        </w:rPr>
        <w:t xml:space="preserve">All figures are in Nigerian Naira (₦). The budget covers all 45 persons — participants and facilitation/support staff combined. Rates reflect prevailing Jigawa State government and open-market rates as of Q2 2026.</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700"/>
        <w:gridCol w:w="3900"/>
        <w:gridCol w:w="900"/>
        <w:gridCol w:w="1360"/>
        <w:gridCol w:w="1200"/>
        <w:gridCol w:w="1900"/>
      </w:tblGrid>
      <w:tr>
        <w:trPr>
          <w:tblHeader/>
        </w:trPr>
        <w:tc>
          <w:tcPr>
            <w:tcW w:type="dxa" w:w="7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S/N</w:t>
            </w:r>
          </w:p>
        </w:tc>
        <w:tc>
          <w:tcPr>
            <w:tcW w:type="dxa" w:w="39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Item Description</w:t>
            </w:r>
          </w:p>
        </w:tc>
        <w:tc>
          <w:tcPr>
            <w:tcW w:type="dxa" w:w="9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Qty</w:t>
            </w:r>
          </w:p>
        </w:tc>
        <w:tc>
          <w:tcPr>
            <w:tcW w:type="dxa" w:w="13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Unit Cost</w:t>
            </w:r>
          </w:p>
        </w:tc>
        <w:tc>
          <w:tcPr>
            <w:tcW w:type="dxa" w:w="12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Days</w:t>
            </w:r>
          </w:p>
        </w:tc>
        <w:tc>
          <w:tcPr>
            <w:tcW w:type="dxa" w:w="19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Amount (₦)</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A.  VENUE AND CONFERENCE FACILITIES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Conference hall hire — Dutse venue (2 days)</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₦420,000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₦840,000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1.2</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Breakout rooms hire (3 rooms x 2 days)</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3</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₦65,000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₦390,000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B.  MEALS AND REFRESHMENTS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Lunch — 45 persons x 2 days @ ₦6,000</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₦6,000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₦540,000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2.2</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Morning tea — 45 persons x 2 days @ ₦1,500</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₦1,500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₦135,000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2.3</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Afternoon tea — 45 persons x 2 days @ ₦1,500</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₦1,500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₦135,000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2.4</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Networking dinner — Day 1 (45 persons @ ₦4,000)</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₦180,000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C.  TRAINING / SITTING ALLOWANCE</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3.1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Training allowance — all 45 persons x ₦15,000/day x 2 days</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₦15,000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₦1,350,000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D.  TRANSPORT AND LOGISTICS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Fuel and logistics — JISITDEA coordination vehicles (lump sum)</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E.  TRAINING MATERIALS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Participant training kits — notebook, pen, branded folder (45 pcs @ ₦3,000)</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₦3,000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₦135,000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5.2</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Printed user manuals — role-specific editions (40 copies @ ₦2,500)</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40</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₦2,500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5.3</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Branded name tags, lanyards, and certificates (45 pcs @ ₦700)</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45</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₦700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₦31,500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5.4</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Programme brochures and agenda cards (50 copies @ ₦400)</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50</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5.5</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Stationery for facilitators and registration desk (lump sum)</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F.  ICT AND TECHNICAL SETUP</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6.1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Training sandbox environment configuration and setup (vendor)</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6.2</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MiFi internet backup units with data (5 units @ ₦20,000)</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5</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₦20,000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6.3</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Extension cables, power strips, and HDMI cables (lump sum)</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6.4</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Technical support officer — 2-day honorarium @ ₦60,000/day</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₦60,000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₦120,000</w:t>
            </w:r>
          </w:p>
        </w:tc>
      </w:tr>
      <w:tr>
        <w:tc>
          <w:tcPr>
            <w:tcW w:type="dxa" w:w="9960"/>
            <w:gridSpan w:val="6"/>
            <w:tcBorders>
              <w:top w:val="single" w:color="0D4A24" w:sz="4"/>
              <w:left w:val="single" w:color="0D4A24" w:sz="4"/>
              <w:bottom w:val="single" w:color="0D4A24" w:sz="4"/>
              <w:right w:val="single" w:color="0D4A24" w:sz="4"/>
            </w:tcBorders>
            <w:shd w:fill="D6EDDF" w:val="clear"/>
            <w:tcMar>
              <w:top w:type="dxa" w:w="70"/>
              <w:left w:type="dxa" w:w="120"/>
              <w:bottom w:type="dxa" w:w="70"/>
              <w:right w:type="dxa" w:w="80"/>
            </w:tcMar>
          </w:tcPr>
          <w:p>
            <w:r>
              <w:rPr>
                <w:rFonts w:ascii="Arial" w:cs="Arial" w:eastAsia="Arial" w:hAnsi="Arial"/>
                <w:b/>
                <w:bCs/>
                <w:color w:val="1B6B3A"/>
                <w:sz w:val="20"/>
                <w:szCs w:val="20"/>
              </w:rPr>
              <w:t xml:space="preserve">G.  FACILITATION AND PERSONNEL COSTS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7.1</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Lead Facilitator / Training Coordinator — 2 days @ ₦60,000/day</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₦60,000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₦120,000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7.2</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Procurement / Due Process Track Facilitator — 2 days @ ₦50,000/day</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₦50,000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7.3</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ICT Track Facilitator — 2 days @ ₦50,000/day</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₦50,000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₦100,000</w:t>
            </w:r>
          </w:p>
        </w:tc>
      </w:tr>
      <w:tr>
        <w:tc>
          <w:tcPr>
            <w:tcW w:type="dxa" w:w="7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7.4</w:t>
            </w:r>
          </w:p>
        </w:tc>
        <w:tc>
          <w:tcPr>
            <w:tcW w:type="dxa" w:w="3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Documentation Officer — 2 days @ ₦22,000/day</w:t>
            </w:r>
          </w:p>
        </w:tc>
        <w:tc>
          <w:tcPr>
            <w:tcW w:type="dxa" w:w="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1</w:t>
            </w:r>
          </w:p>
        </w:tc>
        <w:tc>
          <w:tcPr>
            <w:tcW w:type="dxa" w:w="13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₦22,000</w:t>
            </w:r>
          </w:p>
        </w:tc>
        <w:tc>
          <w:tcPr>
            <w:tcW w:type="dxa" w:w="12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₦44,000</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7.5</w:t>
            </w:r>
          </w:p>
        </w:tc>
        <w:tc>
          <w:tcPr>
            <w:tcW w:type="dxa" w:w="3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Logistics/Admin Support (x2) — 2 days @ ₦16,000/day each</w:t>
            </w:r>
          </w:p>
        </w:tc>
        <w:tc>
          <w:tcPr>
            <w:tcW w:type="dxa" w:w="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3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₦16,000</w:t>
            </w:r>
          </w:p>
        </w:tc>
        <w:tc>
          <w:tcPr>
            <w:tcW w:type="dxa" w:w="1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2</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₦64,000</w:t>
            </w:r>
          </w:p>
        </w:tc>
      </w:tr>
      <w:tr>
        <w:tc>
          <w:tcPr>
            <w:tcW w:type="dxa" w:w="700"/>
            <w:tcBorders>
              <w:top w:val="single" w:color="999999" w:sz="4"/>
              <w:left w:val="single" w:color="999999" w:sz="4"/>
              <w:bottom w:val="single" w:color="999999" w:sz="4"/>
              <w:right w:val="single" w:color="999999" w:sz="4"/>
            </w:tcBorders>
            <w:shd w:fill="FFF8DC" w:val="clear"/>
            <w:tcMar>
              <w:top w:type="dxa" w:w="70"/>
              <w:left w:type="dxa" w:w="80"/>
              <w:bottom w:type="dxa" w:w="70"/>
              <w:right w:type="dxa" w:w="80"/>
            </w:tcMar>
          </w:tcPr>
          <w:p>
            <w:r>
              <w:rPr>
                <w:rFonts w:ascii="Arial" w:cs="Arial" w:eastAsia="Arial" w:hAnsi="Arial"/>
                <w:b/>
                <w:bCs/>
                <w:color w:val="B8860B"/>
                <w:sz w:val="18"/>
                <w:szCs w:val="18"/>
              </w:rPr>
              <w:t xml:space="preserve">—</w:t>
            </w:r>
          </w:p>
        </w:tc>
        <w:tc>
          <w:tcPr>
            <w:tcW w:type="dxa" w:w="8360"/>
            <w:gridSpan w:val="4"/>
            <w:tcBorders>
              <w:top w:val="single" w:color="999999" w:sz="4"/>
              <w:left w:val="single" w:color="999999" w:sz="4"/>
              <w:bottom w:val="single" w:color="999999" w:sz="4"/>
              <w:right w:val="single" w:color="999999" w:sz="4"/>
            </w:tcBorders>
            <w:shd w:fill="FFF8DC" w:val="clear"/>
            <w:tcMar>
              <w:top w:type="dxa" w:w="70"/>
              <w:left w:type="dxa" w:w="120"/>
              <w:bottom w:type="dxa" w:w="70"/>
              <w:right w:type="dxa" w:w="80"/>
            </w:tcMar>
          </w:tcPr>
          <w:p>
            <w:r>
              <w:rPr>
                <w:rFonts w:ascii="Arial" w:cs="Arial" w:eastAsia="Arial" w:hAnsi="Arial"/>
                <w:b/>
                <w:bCs/>
                <w:color w:val="B8860B"/>
                <w:sz w:val="20"/>
                <w:szCs w:val="20"/>
              </w:rPr>
              <w:t xml:space="preserve">Contingency (5% of subtotal)</w:t>
            </w:r>
          </w:p>
        </w:tc>
        <w:tc>
          <w:tcPr>
            <w:tcW w:type="dxa" w:w="1900"/>
            <w:tcBorders>
              <w:top w:val="single" w:color="999999" w:sz="4"/>
              <w:left w:val="single" w:color="999999" w:sz="4"/>
              <w:bottom w:val="single" w:color="999999" w:sz="4"/>
              <w:right w:val="single" w:color="999999" w:sz="4"/>
            </w:tcBorders>
            <w:shd w:fill="FFF8DC" w:val="clear"/>
            <w:tcMar>
              <w:top w:type="dxa" w:w="70"/>
              <w:left w:type="dxa" w:w="80"/>
              <w:bottom w:type="dxa" w:w="70"/>
              <w:right w:type="dxa" w:w="80"/>
            </w:tcMar>
          </w:tcPr>
          <w:p>
            <w:r>
              <w:rPr>
                <w:rFonts w:ascii="Arial" w:cs="Arial" w:eastAsia="Arial" w:hAnsi="Arial"/>
                <w:b/>
                <w:bCs/>
                <w:color w:val="B8860B"/>
                <w:sz w:val="20"/>
                <w:szCs w:val="20"/>
              </w:rPr>
              <w:t xml:space="preserve">₦243,725</w:t>
            </w:r>
          </w:p>
        </w:tc>
      </w:tr>
      <w:tr>
        <w:tc>
          <w:tcPr>
            <w:tcW w:type="dxa" w:w="8060"/>
            <w:gridSpan w:val="5"/>
            <w:tcBorders>
              <w:top w:val="single" w:color="0D4A24" w:sz="4"/>
              <w:left w:val="single" w:color="0D4A24" w:sz="4"/>
              <w:bottom w:val="single" w:color="0D4A24" w:sz="4"/>
              <w:right w:val="single" w:color="0D4A24" w:sz="4"/>
            </w:tcBorders>
            <w:shd w:fill="1F497D" w:val="clear"/>
            <w:tcMar>
              <w:top w:type="dxa" w:w="90"/>
              <w:left w:type="dxa" w:w="120"/>
              <w:bottom w:type="dxa" w:w="90"/>
              <w:right w:type="dxa" w:w="80"/>
            </w:tcMar>
          </w:tcPr>
          <w:p>
            <w:pPr>
              <w:jc w:val="right"/>
            </w:pPr>
            <w:r>
              <w:rPr>
                <w:rFonts w:ascii="Arial" w:cs="Arial" w:eastAsia="Arial" w:hAnsi="Arial"/>
                <w:b/>
                <w:bCs/>
                <w:color w:val="FFFFFF"/>
                <w:sz w:val="24"/>
                <w:szCs w:val="24"/>
              </w:rPr>
              <w:t xml:space="preserve">TOTAL ESTIMATED BUDGET</w:t>
            </w:r>
          </w:p>
        </w:tc>
        <w:tc>
          <w:tcPr>
            <w:tcW w:type="dxa" w:w="1900"/>
            <w:tcBorders>
              <w:top w:val="single" w:color="0D4A24" w:sz="4"/>
              <w:left w:val="single" w:color="0D4A24" w:sz="4"/>
              <w:bottom w:val="single" w:color="0D4A24" w:sz="4"/>
              <w:right w:val="single" w:color="0D4A24" w:sz="4"/>
            </w:tcBorders>
            <w:shd w:fill="1F497D" w:val="clear"/>
            <w:tcMar>
              <w:top w:type="dxa" w:w="90"/>
              <w:left w:type="dxa" w:w="80"/>
              <w:bottom w:type="dxa" w:w="90"/>
              <w:right w:type="dxa" w:w="80"/>
            </w:tcMar>
          </w:tcPr>
          <w:p>
            <w:r>
              <w:rPr>
                <w:rFonts w:ascii="Arial" w:cs="Arial" w:eastAsia="Arial" w:hAnsi="Arial"/>
                <w:b/>
                <w:bCs/>
                <w:color w:val="FFFFFF"/>
                <w:sz w:val="24"/>
                <w:szCs w:val="24"/>
              </w:rPr>
              <w:t xml:space="preserve">₦5,118,225</w:t>
            </w:r>
          </w:p>
        </w:tc>
      </w:tr>
    </w:tbl>
    <w:p>
      <w:pPr>
        <w:spacing w:after="80" w:before="80"/>
      </w:pPr>
      <w:r>
        <w:t xml:space="preserve"/>
      </w:r>
    </w:p>
    <w:p>
      <w:pPr>
        <w:spacing w:after="60" w:before="60"/>
        <w:ind w:left="360"/>
      </w:pPr>
      <w:r>
        <w:rPr>
          <w:rFonts w:ascii="Arial" w:cs="Arial" w:eastAsia="Arial" w:hAnsi="Arial"/>
          <w:i/>
          <w:iCs/>
          <w:color w:val="595959"/>
          <w:sz w:val="20"/>
          <w:szCs w:val="20"/>
        </w:rPr>
        <w:t xml:space="preserve">Subtotal (before contingency): ₦4,874,500  |  Contingency (5%): ₦243,725  |  TOTAL: ₦5,118,225</w:t>
      </w:r>
    </w:p>
    <w:p>
      <w:pPr>
        <w:spacing w:after="60" w:before="60"/>
        <w:ind w:left="360"/>
      </w:pPr>
      <w:r>
        <w:rPr>
          <w:rFonts w:ascii="Arial" w:cs="Arial" w:eastAsia="Arial" w:hAnsi="Arial"/>
          <w:i/>
          <w:iCs/>
          <w:color w:val="595959"/>
          <w:sz w:val="20"/>
          <w:szCs w:val="20"/>
        </w:rPr>
        <w:t xml:space="preserve">DTA rates applied are consistent with the 2022 National Salaries, Incomes and Wages Commission circular on Duty Tour Allowance, adjusted for Jigawa State level. Budget to be reviewed against actual venue quotations before submission.</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8. Assessment and Certification</w:t>
      </w:r>
    </w:p>
    <w:p>
      <w:pPr>
        <w:spacing w:after="60" w:before="60"/>
      </w:pPr>
      <w:r>
        <w:rPr>
          <w:rFonts w:ascii="Arial" w:cs="Arial" w:eastAsia="Arial" w:hAnsi="Arial"/>
          <w:color w:val="000000"/>
          <w:sz w:val="22"/>
          <w:szCs w:val="22"/>
        </w:rPr>
        <w:t xml:space="preserve">All participants are assessed during the final training day (Plan A: Day 3; Plan B: Day 2). Assessment has two components:</w:t>
      </w:r>
    </w:p>
    <w:p>
      <w:pPr>
        <w:spacing w:after="80" w:before="80"/>
      </w:pPr>
      <w:r>
        <w:t xml:space="preserve"/>
      </w:r>
    </w:p>
    <w:p>
      <w:pPr>
        <w:spacing w:after="60" w:before="160"/>
      </w:pPr>
      <w:r>
        <w:rPr>
          <w:rFonts w:ascii="Arial" w:cs="Arial" w:eastAsia="Arial" w:hAnsi="Arial"/>
          <w:b/>
          <w:bCs/>
          <w:color w:val="1F497D"/>
          <w:sz w:val="24"/>
          <w:szCs w:val="24"/>
        </w:rPr>
        <w:t xml:space="preserve">Written Assessment — 40 marks</w:t>
      </w:r>
    </w:p>
    <w:p>
      <w:pPr>
        <w:pStyle w:val="ListParagraph"/>
        <w:numPr>
          <w:ilvl w:val="0"/>
          <w:numId w:val="2"/>
        </w:numPr>
        <w:spacing w:after="40" w:before="40"/>
      </w:pPr>
      <w:r>
        <w:rPr>
          <w:rFonts w:ascii="Arial" w:cs="Arial" w:eastAsia="Arial" w:hAnsi="Arial"/>
          <w:b w:val="false"/>
          <w:bCs w:val="false"/>
          <w:sz w:val="22"/>
          <w:szCs w:val="22"/>
        </w:rPr>
        <w:t xml:space="preserve">20 multiple-choice questions covering procurement law, system navigation, and process knowledge</w:t>
      </w:r>
    </w:p>
    <w:p>
      <w:pPr>
        <w:pStyle w:val="ListParagraph"/>
        <w:numPr>
          <w:ilvl w:val="0"/>
          <w:numId w:val="2"/>
        </w:numPr>
        <w:spacing w:after="40" w:before="40"/>
      </w:pPr>
      <w:r>
        <w:rPr>
          <w:rFonts w:ascii="Arial" w:cs="Arial" w:eastAsia="Arial" w:hAnsi="Arial"/>
          <w:b w:val="false"/>
          <w:bCs w:val="false"/>
          <w:sz w:val="22"/>
          <w:szCs w:val="22"/>
        </w:rPr>
        <w:t xml:space="preserve">Duration: 30 minutes; administered using printed question booklets</w:t>
      </w:r>
    </w:p>
    <w:p>
      <w:pPr>
        <w:spacing w:after="80" w:before="80"/>
      </w:pPr>
      <w:r>
        <w:t xml:space="preserve"/>
      </w:r>
    </w:p>
    <w:p>
      <w:pPr>
        <w:spacing w:after="60" w:before="160"/>
      </w:pPr>
      <w:r>
        <w:rPr>
          <w:rFonts w:ascii="Arial" w:cs="Arial" w:eastAsia="Arial" w:hAnsi="Arial"/>
          <w:b/>
          <w:bCs/>
          <w:color w:val="1F497D"/>
          <w:sz w:val="24"/>
          <w:szCs w:val="24"/>
        </w:rPr>
        <w:t xml:space="preserve">Practical Assessment — 60 marks</w:t>
      </w:r>
    </w:p>
    <w:p>
      <w:pPr>
        <w:pStyle w:val="ListParagraph"/>
        <w:numPr>
          <w:ilvl w:val="0"/>
          <w:numId w:val="2"/>
        </w:numPr>
        <w:spacing w:after="40" w:before="40"/>
      </w:pPr>
      <w:r>
        <w:rPr>
          <w:rFonts w:ascii="Arial" w:cs="Arial" w:eastAsia="Arial" w:hAnsi="Arial"/>
          <w:b w:val="false"/>
          <w:bCs w:val="false"/>
          <w:sz w:val="22"/>
          <w:szCs w:val="22"/>
        </w:rPr>
        <w:t xml:space="preserve">One role-specific task on the training sandbox — Procurement Officers create and submit a requisition; Bureau staff complete a contract verification step; ICT staff provision a new user; Directors approve a simulated request</w:t>
      </w:r>
    </w:p>
    <w:p>
      <w:pPr>
        <w:pStyle w:val="ListParagraph"/>
        <w:numPr>
          <w:ilvl w:val="0"/>
          <w:numId w:val="2"/>
        </w:numPr>
        <w:spacing w:after="40" w:before="40"/>
      </w:pPr>
      <w:r>
        <w:rPr>
          <w:rFonts w:ascii="Arial" w:cs="Arial" w:eastAsia="Arial" w:hAnsi="Arial"/>
          <w:b w:val="false"/>
          <w:bCs w:val="false"/>
          <w:sz w:val="22"/>
          <w:szCs w:val="22"/>
        </w:rPr>
        <w:t xml:space="preserve">Assessed by the Technical Facilitator against a standardised marking rubric</w:t>
      </w:r>
    </w:p>
    <w:p>
      <w:pPr>
        <w:spacing w:after="80" w:before="80"/>
      </w:pPr>
      <w:r>
        <w:t xml:space="preserve"/>
      </w:r>
    </w:p>
    <w:p>
      <w:pPr>
        <w:spacing w:after="60" w:before="160"/>
      </w:pPr>
      <w:r>
        <w:rPr>
          <w:rFonts w:ascii="Arial" w:cs="Arial" w:eastAsia="Arial" w:hAnsi="Arial"/>
          <w:b/>
          <w:bCs/>
          <w:color w:val="1F497D"/>
          <w:sz w:val="24"/>
          <w:szCs w:val="24"/>
        </w:rPr>
        <w:t xml:space="preserve">Certification</w:t>
      </w:r>
    </w:p>
    <w:p>
      <w:pPr>
        <w:pStyle w:val="ListParagraph"/>
        <w:numPr>
          <w:ilvl w:val="0"/>
          <w:numId w:val="2"/>
        </w:numPr>
        <w:spacing w:after="40" w:before="40"/>
      </w:pPr>
      <w:r>
        <w:rPr>
          <w:rFonts w:ascii="Arial" w:cs="Arial" w:eastAsia="Arial" w:hAnsi="Arial"/>
          <w:b w:val="false"/>
          <w:bCs w:val="false"/>
          <w:sz w:val="22"/>
          <w:szCs w:val="22"/>
        </w:rPr>
        <w:t xml:space="preserve">Participants scoring 60/100 and above receive a Certificate of Competence in JS-EPS Operations, signed by the DG JISITDEA and countersigned by the DG Due Process and Project Monitoring Bureau</w:t>
      </w:r>
    </w:p>
    <w:p>
      <w:pPr>
        <w:pStyle w:val="ListParagraph"/>
        <w:numPr>
          <w:ilvl w:val="0"/>
          <w:numId w:val="2"/>
        </w:numPr>
        <w:spacing w:after="40" w:before="40"/>
      </w:pPr>
      <w:r>
        <w:rPr>
          <w:rFonts w:ascii="Arial" w:cs="Arial" w:eastAsia="Arial" w:hAnsi="Arial"/>
          <w:b w:val="false"/>
          <w:bCs w:val="false"/>
          <w:sz w:val="22"/>
          <w:szCs w:val="22"/>
        </w:rPr>
        <w:t xml:space="preserve">Participants below 60 receive a Certificate of Participation and are scheduled for follow-up coaching</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9. Post-Training Follow-Up</w:t>
      </w:r>
    </w:p>
    <w:p>
      <w:pPr>
        <w:pStyle w:val="ListParagraph"/>
        <w:numPr>
          <w:ilvl w:val="0"/>
          <w:numId w:val="2"/>
        </w:numPr>
        <w:spacing w:after="40" w:before="40"/>
      </w:pPr>
      <w:r>
        <w:rPr>
          <w:rFonts w:ascii="Arial" w:cs="Arial" w:eastAsia="Arial" w:hAnsi="Arial"/>
          <w:b w:val="false"/>
          <w:bCs w:val="false"/>
          <w:sz w:val="22"/>
          <w:szCs w:val="22"/>
        </w:rPr>
        <w:t xml:space="preserve">30-day check-in: JISITDEA contacts each MDA to assess JS-EPS adoption against the deployment plan produced during training</w:t>
      </w:r>
    </w:p>
    <w:p>
      <w:pPr>
        <w:pStyle w:val="ListParagraph"/>
        <w:numPr>
          <w:ilvl w:val="0"/>
          <w:numId w:val="2"/>
        </w:numPr>
        <w:spacing w:after="40" w:before="40"/>
      </w:pPr>
      <w:r>
        <w:rPr>
          <w:rFonts w:ascii="Arial" w:cs="Arial" w:eastAsia="Arial" w:hAnsi="Arial"/>
          <w:b w:val="false"/>
          <w:bCs w:val="false"/>
          <w:sz w:val="22"/>
          <w:szCs w:val="22"/>
        </w:rPr>
        <w:t xml:space="preserve">90-day support: A dedicated WhatsApp support group and JISITDEA helpdesk email remain active for 90 days post-training</w:t>
      </w:r>
    </w:p>
    <w:p>
      <w:pPr>
        <w:pStyle w:val="ListParagraph"/>
        <w:numPr>
          <w:ilvl w:val="0"/>
          <w:numId w:val="2"/>
        </w:numPr>
        <w:spacing w:after="40" w:before="40"/>
      </w:pPr>
      <w:r>
        <w:rPr>
          <w:rFonts w:ascii="Arial" w:cs="Arial" w:eastAsia="Arial" w:hAnsi="Arial"/>
          <w:b w:val="false"/>
          <w:bCs w:val="false"/>
          <w:sz w:val="22"/>
          <w:szCs w:val="22"/>
        </w:rPr>
        <w:t xml:space="preserve">Training report: Documentation Officer submits a full report within 5 working days, covering attendance, assessment results, feedback summary, and recommendations</w:t>
      </w:r>
    </w:p>
    <w:p>
      <w:pPr>
        <w:spacing w:after="80" w:before="80"/>
      </w:pPr>
      <w:r>
        <w:t xml:space="preserve"/>
      </w:r>
    </w:p>
    <w:p>
      <w:pPr>
        <w:pStyle w:val="Heading1"/>
        <w:spacing w:after="160" w:before="320"/>
      </w:pPr>
      <w:r>
        <w:rPr>
          <w:rFonts w:ascii="Arial" w:cs="Arial" w:eastAsia="Arial" w:hAnsi="Arial"/>
          <w:b/>
          <w:bCs/>
          <w:color w:val="1F497D"/>
          <w:sz w:val="32"/>
          <w:szCs w:val="32"/>
        </w:rPr>
        <w:t xml:space="preserve">10. Risk Register</w:t>
      </w:r>
    </w:p>
    <w:p>
      <w:pPr>
        <w:spacing w:after="80" w:before="80"/>
      </w:pPr>
      <w:r>
        <w:t xml:space="preserve"/>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2800"/>
        <w:gridCol w:w="1300"/>
        <w:gridCol w:w="1100"/>
        <w:gridCol w:w="4760"/>
      </w:tblGrid>
      <w:tr>
        <w:trPr>
          <w:tblHeader/>
        </w:trPr>
        <w:tc>
          <w:tcPr>
            <w:tcW w:type="dxa" w:w="28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Risk</w:t>
            </w:r>
          </w:p>
        </w:tc>
        <w:tc>
          <w:tcPr>
            <w:tcW w:type="dxa" w:w="13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Likelihood</w:t>
            </w:r>
          </w:p>
        </w:tc>
        <w:tc>
          <w:tcPr>
            <w:tcW w:type="dxa" w:w="110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Impact</w:t>
            </w:r>
          </w:p>
        </w:tc>
        <w:tc>
          <w:tcPr>
            <w:tcW w:type="dxa" w:w="4760"/>
            <w:tcBorders>
              <w:top w:val="single" w:color="0D4A24" w:sz="4"/>
              <w:left w:val="single" w:color="0D4A24" w:sz="4"/>
              <w:bottom w:val="single" w:color="0D4A24" w:sz="4"/>
              <w:right w:val="single" w:color="0D4A24" w:sz="4"/>
            </w:tcBorders>
            <w:shd w:fill="1B6B3A"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Mitigation</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Low participant attendance / MDAs not releasing staff</w:t>
            </w:r>
          </w:p>
        </w:tc>
        <w:tc>
          <w:tcPr>
            <w:tcW w:type="dxa" w:w="13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11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High</w:t>
            </w:r>
          </w:p>
        </w:tc>
        <w:tc>
          <w:tcPr>
            <w:tcW w:type="dxa" w:w="47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Official DG invitation letters via MDAs 3 weeks before; DG Due Process Bureau endorsement; confirm names 1 week before</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Unstable internet at venue</w:t>
            </w:r>
          </w:p>
        </w:tc>
        <w:tc>
          <w:tcPr>
            <w:tcW w:type="dxa" w:w="1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11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High</w:t>
            </w:r>
          </w:p>
        </w:tc>
        <w:tc>
          <w:tcPr>
            <w:tcW w:type="dxa" w:w="47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Pre-install sandbox on local server; 5 MiFi backup units; test connectivity 1 day before</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System vendor unavailable</w:t>
            </w:r>
          </w:p>
        </w:tc>
        <w:tc>
          <w:tcPr>
            <w:tcW w:type="dxa" w:w="13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Low</w:t>
            </w:r>
          </w:p>
        </w:tc>
        <w:tc>
          <w:tcPr>
            <w:tcW w:type="dxa" w:w="11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High</w:t>
            </w:r>
          </w:p>
        </w:tc>
        <w:tc>
          <w:tcPr>
            <w:tcW w:type="dxa" w:w="47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Include availability clause in vendor agreement; JISITDEA backup technical officer identified</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Low digital literacy among some participants</w:t>
            </w:r>
          </w:p>
        </w:tc>
        <w:tc>
          <w:tcPr>
            <w:tcW w:type="dxa" w:w="1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11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47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Peer buddy system within cohort; simplified first breakout tasks; printed visual quick-reference guides</w:t>
            </w:r>
          </w:p>
        </w:tc>
      </w:tr>
      <w:tr>
        <w:tc>
          <w:tcPr>
            <w:tcW w:type="dxa" w:w="28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Power failure at venue</w:t>
            </w:r>
          </w:p>
        </w:tc>
        <w:tc>
          <w:tcPr>
            <w:tcW w:type="dxa" w:w="13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110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4760"/>
            <w:tcBorders>
              <w:top w:val="single" w:color="CCCCCC" w:sz="4"/>
              <w:left w:val="single" w:color="CCCCCC" w:sz="4"/>
              <w:bottom w:val="single" w:color="CCCCCC" w:sz="4"/>
              <w:right w:val="single" w:color="CCCCCC" w:sz="4"/>
            </w:tcBorders>
            <w:shd w:fill="F2F2F2" w:val="clear"/>
            <w:tcMar>
              <w:top w:type="dxa" w:w="80"/>
              <w:left w:type="dxa" w:w="120"/>
              <w:bottom w:type="dxa" w:w="80"/>
              <w:right w:type="dxa" w:w="120"/>
            </w:tcMar>
          </w:tcPr>
          <w:p>
            <w:r>
              <w:rPr>
                <w:rFonts w:ascii="Arial" w:cs="Arial" w:eastAsia="Arial" w:hAnsi="Arial"/>
                <w:b w:val="false"/>
                <w:bCs w:val="false"/>
                <w:color w:val="000000"/>
                <w:sz w:val="20"/>
                <w:szCs w:val="20"/>
              </w:rPr>
              <w:t xml:space="preserve">Generator backup confirmed in venue contract; portable UPS for facilitator laptop</w:t>
            </w:r>
          </w:p>
        </w:tc>
      </w:tr>
      <w:tr>
        <w:tc>
          <w:tcPr>
            <w:tcW w:type="dxa" w:w="28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Budget overrun</w:t>
            </w:r>
          </w:p>
        </w:tc>
        <w:tc>
          <w:tcPr>
            <w:tcW w:type="dxa" w:w="1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Low</w:t>
            </w:r>
          </w:p>
        </w:tc>
        <w:tc>
          <w:tcPr>
            <w:tcW w:type="dxa" w:w="11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Medium</w:t>
            </w:r>
          </w:p>
        </w:tc>
        <w:tc>
          <w:tcPr>
            <w:tcW w:type="dxa" w:w="47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b w:val="false"/>
                <w:bCs w:val="false"/>
                <w:color w:val="000000"/>
                <w:sz w:val="20"/>
                <w:szCs w:val="20"/>
              </w:rPr>
              <w:t xml:space="preserve">Venue and catering costs locked via advance booking contract; 5% contingency included</w:t>
            </w:r>
          </w:p>
        </w:tc>
      </w:tr>
    </w:tbl>
    <w:p>
      <w:pPr>
        <w:spacing w:after="80" w:before="80"/>
      </w:pPr>
      <w:r>
        <w:t xml:space="preserve"/>
      </w:r>
    </w:p>
    <w:p>
      <w:pPr>
        <w:pStyle w:val="Heading1"/>
        <w:spacing w:after="160" w:before="320"/>
      </w:pPr>
      <w:r>
        <w:rPr>
          <w:rFonts w:ascii="Arial" w:cs="Arial" w:eastAsia="Arial" w:hAnsi="Arial"/>
          <w:b/>
          <w:bCs/>
          <w:color w:val="1F497D"/>
          <w:sz w:val="32"/>
          <w:szCs w:val="32"/>
        </w:rPr>
        <w:t xml:space="preserve">11. Annexes</w:t>
      </w:r>
    </w:p>
    <w:p>
      <w:pPr>
        <w:spacing w:after="60" w:before="60"/>
      </w:pPr>
      <w:r>
        <w:rPr>
          <w:rFonts w:ascii="Arial" w:cs="Arial" w:eastAsia="Arial" w:hAnsi="Arial"/>
          <w:color w:val="000000"/>
          <w:sz w:val="22"/>
          <w:szCs w:val="22"/>
        </w:rPr>
        <w:t xml:space="preserve">The following documents are to be produced and attached before the plan is formally submitted for approval:</w:t>
      </w:r>
    </w:p>
    <w:p>
      <w:pPr>
        <w:spacing w:after="80" w:before="80"/>
      </w:pPr>
      <w:r>
        <w:t xml:space="preserve"/>
      </w:r>
    </w:p>
    <w:p>
      <w:pPr>
        <w:pStyle w:val="ListParagraph"/>
        <w:numPr>
          <w:ilvl w:val="0"/>
          <w:numId w:val="2"/>
        </w:numPr>
        <w:spacing w:after="40" w:before="40"/>
      </w:pPr>
      <w:r>
        <w:rPr>
          <w:rFonts w:ascii="Arial" w:cs="Arial" w:eastAsia="Arial" w:hAnsi="Arial"/>
          <w:b w:val="false"/>
          <w:bCs w:val="false"/>
          <w:sz w:val="22"/>
          <w:szCs w:val="22"/>
        </w:rPr>
        <w:t xml:space="preserve">Annex A — Participant Nomination Form (MDA template)</w:t>
      </w:r>
    </w:p>
    <w:p>
      <w:pPr>
        <w:pStyle w:val="ListParagraph"/>
        <w:numPr>
          <w:ilvl w:val="0"/>
          <w:numId w:val="2"/>
        </w:numPr>
        <w:spacing w:after="40" w:before="40"/>
      </w:pPr>
      <w:r>
        <w:rPr>
          <w:rFonts w:ascii="Arial" w:cs="Arial" w:eastAsia="Arial" w:hAnsi="Arial"/>
          <w:b w:val="false"/>
          <w:bCs w:val="false"/>
          <w:sz w:val="22"/>
          <w:szCs w:val="22"/>
        </w:rPr>
        <w:t xml:space="preserve">Annex B — Training Feedback and Evaluation Form</w:t>
      </w:r>
    </w:p>
    <w:p>
      <w:pPr>
        <w:pStyle w:val="ListParagraph"/>
        <w:numPr>
          <w:ilvl w:val="0"/>
          <w:numId w:val="2"/>
        </w:numPr>
        <w:spacing w:after="40" w:before="40"/>
      </w:pPr>
      <w:r>
        <w:rPr>
          <w:rFonts w:ascii="Arial" w:cs="Arial" w:eastAsia="Arial" w:hAnsi="Arial"/>
          <w:b w:val="false"/>
          <w:bCs w:val="false"/>
          <w:sz w:val="22"/>
          <w:szCs w:val="22"/>
        </w:rPr>
        <w:t xml:space="preserve">Annex C — Practical Assessment Marking Rubric</w:t>
      </w:r>
    </w:p>
    <w:p>
      <w:pPr>
        <w:pStyle w:val="ListParagraph"/>
        <w:numPr>
          <w:ilvl w:val="0"/>
          <w:numId w:val="2"/>
        </w:numPr>
        <w:spacing w:after="40" w:before="40"/>
      </w:pPr>
      <w:r>
        <w:rPr>
          <w:rFonts w:ascii="Arial" w:cs="Arial" w:eastAsia="Arial" w:hAnsi="Arial"/>
          <w:b w:val="false"/>
          <w:bCs w:val="false"/>
          <w:sz w:val="22"/>
          <w:szCs w:val="22"/>
        </w:rPr>
        <w:t xml:space="preserve">Annex D — MDA 30-Day Deployment Action Plan Template</w:t>
      </w:r>
    </w:p>
    <w:p>
      <w:pPr>
        <w:pStyle w:val="ListParagraph"/>
        <w:numPr>
          <w:ilvl w:val="0"/>
          <w:numId w:val="2"/>
        </w:numPr>
        <w:spacing w:after="40" w:before="40"/>
      </w:pPr>
      <w:r>
        <w:rPr>
          <w:rFonts w:ascii="Arial" w:cs="Arial" w:eastAsia="Arial" w:hAnsi="Arial"/>
          <w:b w:val="false"/>
          <w:bCs w:val="false"/>
          <w:sz w:val="22"/>
          <w:szCs w:val="22"/>
        </w:rPr>
        <w:t xml:space="preserve">Annex E — Certificate of Competence Design</w:t>
      </w:r>
    </w:p>
    <w:p>
      <w:pPr>
        <w:pStyle w:val="ListParagraph"/>
        <w:numPr>
          <w:ilvl w:val="0"/>
          <w:numId w:val="2"/>
        </w:numPr>
        <w:spacing w:after="40" w:before="40"/>
      </w:pPr>
      <w:r>
        <w:rPr>
          <w:rFonts w:ascii="Arial" w:cs="Arial" w:eastAsia="Arial" w:hAnsi="Arial"/>
          <w:b w:val="false"/>
          <w:bCs w:val="false"/>
          <w:sz w:val="22"/>
          <w:szCs w:val="22"/>
        </w:rPr>
        <w:t xml:space="preserve">Annex F — JS-EPS Quick Reference Guides (Procurement Officer / ICT / Director / Bureau editions)</w:t>
      </w:r>
    </w:p>
    <w:p>
      <w:pPr>
        <w:pStyle w:val="ListParagraph"/>
        <w:numPr>
          <w:ilvl w:val="0"/>
          <w:numId w:val="2"/>
        </w:numPr>
        <w:spacing w:after="40" w:before="40"/>
      </w:pPr>
      <w:r>
        <w:rPr>
          <w:rFonts w:ascii="Arial" w:cs="Arial" w:eastAsia="Arial" w:hAnsi="Arial"/>
          <w:b w:val="false"/>
          <w:bCs w:val="false"/>
          <w:sz w:val="22"/>
          <w:szCs w:val="22"/>
        </w:rPr>
        <w:t xml:space="preserve">Annex G — Training Report Template</w:t>
      </w:r>
    </w:p>
    <w:p>
      <w:pPr>
        <w:spacing w:after="80" w:before="80"/>
      </w:pPr>
      <w:r>
        <w:t xml:space="preserve"/>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6B3A" w:sz="4" w:space="4"/>
      </w:pBdr>
      <w:tabs>
        <w:tab w:val="right" w:pos="9026"/>
      </w:tabs>
      <w:spacing w:after="0" w:before="80"/>
    </w:pPr>
    <w:r>
      <w:rPr>
        <w:rFonts w:ascii="Arial" w:cs="Arial" w:eastAsia="Arial" w:hAnsi="Arial"/>
        <w:color w:val="595959"/>
        <w:sz w:val="16"/>
        <w:szCs w:val="16"/>
      </w:rPr>
      <w:t xml:space="preserve">April 2026  |  Head, E-Governance and Digital Economy, JISITDEA</w:t>
    </w:r>
    <w:r>
      <w:rPr>
        <w:rFonts w:ascii="Arial" w:cs="Arial" w:eastAsia="Arial" w:hAnsi="Arial"/>
        <w:color w:val="595959"/>
        <w:sz w:val="16"/>
        <w:szCs w:val="16"/>
      </w:rPr>
      <w:t xml:space="preserve">	Page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3A" w:sz="6" w:space="4"/>
      </w:pBdr>
      <w:tabs>
        <w:tab w:val="right" w:pos="9026"/>
      </w:tabs>
      <w:spacing w:after="100" w:before="0"/>
    </w:pPr>
    <w:r>
      <w:rPr>
        <w:rFonts w:ascii="Arial" w:cs="Arial" w:eastAsia="Arial" w:hAnsi="Arial"/>
        <w:color w:val="595959"/>
        <w:sz w:val="18"/>
        <w:szCs w:val="18"/>
      </w:rPr>
      <w:t xml:space="preserve">JISITDEA  |  JS-EPS Training Plan B — 2-Day Non-Residential Dutse</w:t>
    </w:r>
    <w:r>
      <w:rPr>
        <w:sz w:val="18"/>
        <w:szCs w:val="18"/>
      </w:rPr>
      <w:t xml:space="preserve">	</w:t>
    </w:r>
    <w:r>
      <w:rPr>
        <w:rFonts w:ascii="Arial" w:cs="Arial" w:eastAsia="Arial" w:hAnsi="Arial"/>
        <w:b/>
        <w:bCs/>
        <w:color w:val="1B6B3A"/>
        <w:sz w:val="18"/>
        <w:szCs w:val="18"/>
      </w:rPr>
      <w:t xml:space="preserve">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497D" w:sz="6" w:space="4"/>
      </w:pBdr>
      <w:spacing w:after="160" w:before="320"/>
      <w:outlineLvl w:val="0"/>
    </w:pPr>
    <w:rPr>
      <w:rFonts w:ascii="Arial" w:cs="Arial" w:eastAsia="Arial" w:hAnsi="Arial"/>
      <w:b/>
      <w:bCs/>
      <w:color w:val="1F497D"/>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1F497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2026-04-15T11:22:25.237Z</dcterms:created>
  <dcterms:modified xsi:type="dcterms:W3CDTF">2026-04-15T11:22:25.237Z</dcterms:modified>
</cp:coreProperties>
</file>

<file path=docProps/custom.xml><?xml version="1.0" encoding="utf-8"?>
<Properties xmlns="http://schemas.openxmlformats.org/officeDocument/2006/custom-properties" xmlns:vt="http://schemas.openxmlformats.org/officeDocument/2006/docPropsVTypes"/>
</file>